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4C" w:rsidRPr="00A43B8D" w:rsidRDefault="00FC154C" w:rsidP="00FC154C">
      <w:pPr>
        <w:shd w:val="clear" w:color="auto" w:fill="F5FAFD"/>
        <w:spacing w:after="150" w:line="420" w:lineRule="atLeast"/>
        <w:rPr>
          <w:rFonts w:ascii="Times New Roman" w:eastAsia="Times New Roman" w:hAnsi="Times New Roman" w:cs="Times New Roman"/>
          <w:b/>
          <w:bCs/>
          <w:color w:val="35586E"/>
          <w:sz w:val="28"/>
          <w:szCs w:val="28"/>
        </w:rPr>
      </w:pPr>
      <w:proofErr w:type="gramStart"/>
      <w:r w:rsidRPr="00A43B8D">
        <w:rPr>
          <w:rFonts w:ascii="Times New Roman" w:eastAsia="Times New Roman" w:hAnsi="Times New Roman" w:cs="Times New Roman"/>
          <w:b/>
          <w:bCs/>
          <w:color w:val="35586E"/>
          <w:sz w:val="28"/>
          <w:szCs w:val="28"/>
        </w:rPr>
        <w:t>Povijest jezika za 7.</w:t>
      </w:r>
      <w:proofErr w:type="gramEnd"/>
      <w:r w:rsidRPr="00A43B8D">
        <w:rPr>
          <w:rFonts w:ascii="Times New Roman" w:eastAsia="Times New Roman" w:hAnsi="Times New Roman" w:cs="Times New Roman"/>
          <w:b/>
          <w:bCs/>
          <w:color w:val="35586E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b/>
          <w:bCs/>
          <w:color w:val="35586E"/>
          <w:sz w:val="28"/>
          <w:szCs w:val="28"/>
        </w:rPr>
        <w:t>razred</w:t>
      </w:r>
      <w:proofErr w:type="gramEnd"/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bookmarkStart w:id="0" w:name="s3-858"/>
      <w:bookmarkEnd w:id="0"/>
      <w:r w:rsidRPr="00A43B8D">
        <w:rPr>
          <w:rFonts w:ascii="Times New Roman" w:eastAsia="Times New Roman" w:hAnsi="Times New Roman" w:cs="Times New Roman"/>
          <w:color w:val="808000"/>
          <w:sz w:val="28"/>
          <w:szCs w:val="28"/>
        </w:rPr>
        <w:t>16. STOLJEĆE</w:t>
      </w:r>
    </w:p>
    <w:p w:rsidR="00FC154C" w:rsidRPr="00A43B8D" w:rsidRDefault="00FC154C" w:rsidP="00FC154C">
      <w:pPr>
        <w:shd w:val="clear" w:color="auto" w:fill="F5FAFD"/>
        <w:spacing w:beforeAutospacing="1" w:after="0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Nakon turskih provala hrvatsko pučanstvo često mijenja svoja prebivališta, seleći se iz istočnih i južnih krajeva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zapad (u Italiju - moliški Hrvati) i sjever (Austrija, Mađarska, Slovačka - gradišćanski Hrvati).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 opusjela područja naseljavali su se tzv.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Morlaci i Vlasi.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Katkad su se i Hrvati, pošto je nestala turska opasnost, vraći u svoju staru postojbinu.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Sve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seobe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poremetile su i jezično stanje u Hrvatskoj. Osobito se štokavsko narječje proširilo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nekadašnje čakavske i kajkavske prostore.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Usprkos turskoj opasnosti, naši ljudi i dalje tiskaju knjige.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Tako je u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Senjskoj glagoljskoj tiskari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otisnuto u 16.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pet knjiga (prije toga u 15. st. tiskane su tamo dvije inkunabule):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Riječkoj glagoljskoj tiskari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od 1530.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do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1531. Šimun Kožičić Benja tiskao je sedam knjiga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U 16.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razvija se i  bogata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čakavska i štokavska književnost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a s njome i hrvatski čakavski i štokavski književnojezični izraz.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Najistaknutije mjesto u hrvatskoj književnosti 16.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pripada Splićaninu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Marku Maruliću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Među njegovim djelima ističe se spjev </w:t>
      </w:r>
      <w:r w:rsidRPr="00A43B8D">
        <w:rPr>
          <w:rFonts w:ascii="Times New Roman" w:eastAsia="Times New Roman" w:hAnsi="Times New Roman" w:cs="Times New Roman"/>
          <w:i/>
          <w:iCs/>
          <w:color w:val="0080C0"/>
          <w:sz w:val="28"/>
          <w:szCs w:val="28"/>
        </w:rPr>
        <w:t>JUDITA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iz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1501.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godine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napisan hrvatskim jezikom.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Zato ga nazivamo </w:t>
      </w:r>
      <w:r w:rsidRPr="00A43B8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ocem hrvatske književnosti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Vrhunac književnosti sredinom 16.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čine komedije Dubrovčanina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Marina Držića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t>, među kojima je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najuspješnija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Dundo Maroje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Hvaranin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Petar Hektorović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napisao je spjev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Ribarenje i ribarsko prigovaranje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Zadranin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Petar Zoranić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napisao je roman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Planine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a autor drame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Robinja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je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Hanibal</w:t>
      </w:r>
      <w:proofErr w:type="gramEnd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 Lucić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Premda se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kajkavska knjiga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javlja tek potkraj 16.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st., brojni kajkavizmi u čakavskim i crkvenoslavenskim tekstovima svjedoče o znatno ranijoj pojavi kajkavskog izraza.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Kajkavski utjecaj pokazuje već Vinodolski zakon, a procvat kajkavske književnosti obilježen je knjigama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Antuna Vramca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Kronika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Poštila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 17.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nastavljaju razvijati svoj književnojezični izraz književnici čakavci, štokavci i kajkavci.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Svojim su se književnim djelima u sjevernoj Hrvatskoj istaknuli članovi poznatih hrvatskih velikaških obitelji Zrinski i Frankopan.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Petar Zrinski, Katarina Zrinska, Fran Krsto Frankopan i Pavao Ritter Vitezović </w:t>
      </w:r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najznačajniji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su predstavnici tzv. </w:t>
      </w:r>
      <w:proofErr w:type="gramStart"/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ozaljskog</w:t>
      </w:r>
      <w:proofErr w:type="gramEnd"/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književnojezičnogg kruga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koji su svoja djela pisali mješovitim čakavsko-kajkavsko-štokavskim izrazom.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Za razvoj školstva u Hrvatskoj u tom razdoblju najviše su učinili isusovci.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Istaknuli su se u tiskanju knjiga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narodnom jeziku i u osnivanju škola te su imali vodeću ulogu u osnivanju prve hrvatske visokoškolske ustanove.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Isusovci su osnivali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gimnazije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u Dubrovniku, Zagrebu, Varaždinu, Osijeku, Križevcima i Rijeci.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Pod utjecajem katoličke obnove i povećanog broja školovanih Hrvata sve se više pokazuje potreba za stvaranjem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t>jedinstvenoga hrvatskog književnog jezika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Tome je pridonio isusovac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Bartol Kašić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 koji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je 1604.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godine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napisao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prvu gramatiku hrvatskog jezika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Institutionum linguae illyricae libri duo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(OSNOVE ILIRSKOGA JEZIKA U DVIJE KNJIGE)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 svom drugom za hrvatsko jezikoslovlje važnom djelu, u </w:t>
      </w:r>
      <w:r w:rsidRPr="00A43B8D">
        <w:rPr>
          <w:rFonts w:ascii="Times New Roman" w:eastAsia="Times New Roman" w:hAnsi="Times New Roman" w:cs="Times New Roman"/>
          <w:i/>
          <w:iCs/>
          <w:color w:val="0080C0"/>
          <w:sz w:val="28"/>
          <w:szCs w:val="28"/>
        </w:rPr>
        <w:t xml:space="preserve">Ritualu 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0080C0"/>
          <w:sz w:val="28"/>
          <w:szCs w:val="28"/>
        </w:rPr>
        <w:t>rimskom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knjizi namijenjenoj vjernicima koji sudjeluju u crkvenim obredima),  postavlja slovopisno načelo  - predlaže da se nepčani suglasnici koje latinski jezik ne poznaje (č, ć, š, ž...) pišu ujednačeno, "a ne sad jedno, sad li drugo". U Ritualu piše štokavskim ikavskim govorom koji naziva "naškim" i "bosanskim" i za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nj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tvrdi da je "najopćenitiji i koga može svak lašnje razumiti i s koristju pročtiti".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Glede slovopisa i pravopisa slijedit će ga Dubrovčanin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Rajmundo Đamanjić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Nauk za pisati dobro latinskijema slovima riječi jezika slovinskoga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1639.),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Pavao Ritter Vitezović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koji u svojoj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Ortografiji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umjesto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dvoslova predlaže slova č i ć,  i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Antun Kanižlić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koji je isticao načelo: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Piši kako govoriš.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 tragu je Kašićeve tvrdnje o bosanskom govoru kao "najopćenitijem" i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Jakov Mikalja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sastavljač hrvatsko-latinsko-talijanskog rječnika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Blago jezika slovinskoga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(1649.), u kojem se on ipak koleba između čakavske ikavice i štokavske ijekavice.</w:t>
      </w:r>
      <w:proofErr w:type="gramEnd"/>
    </w:p>
    <w:p w:rsidR="00FC154C" w:rsidRPr="00A43B8D" w:rsidRDefault="00FC154C" w:rsidP="00FC154C">
      <w:pPr>
        <w:shd w:val="clear" w:color="auto" w:fill="F5FAFD"/>
        <w:spacing w:beforeAutospacing="1" w:after="0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Središnja kajkavska figura 17.st. je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Juraj Habdelić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koji se zalagao da kajkavsko narječje postane književni jezik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prostoru između čakavskog i slovenskog prostora. 1670.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Grazu izdao je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Dictionar ili reči slovenske z vekšega vkup zbrane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Utopijske ideje pokušavao je ostvariti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Juraj Križanić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U težnji za ponovnim sjedinjenjem pravoslavne i katoličke crkve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oslobođenjem Slavena pod vodstvom ruskoga cara, napisao je 1665.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gramatiku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zajedničkoga slavenskoga jezika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Gramatičko iskazanje ob ruskom jeziku.  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Za naglasnu i gramatičku osnovicu uzeo je preežito svoj čakavski govor iz okolice Ozlja i Karlovca, a u rječniku je dao prednost tadašnjem ruskom jeziku.</w:t>
      </w:r>
      <w:proofErr w:type="gramEnd"/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808000"/>
          <w:sz w:val="28"/>
          <w:szCs w:val="28"/>
        </w:rPr>
        <w:lastRenderedPageBreak/>
        <w:t>18. STOLJEĆE</w:t>
      </w:r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808000"/>
          <w:sz w:val="28"/>
          <w:szCs w:val="28"/>
        </w:rPr>
      </w:pP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 18.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pojavljuju se književna djela koja popularnost postižu i na mnogo širim prostorima od onih na kojima su nastala, npr.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Razgovor ugodni naroda slovinskoga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Andrije</w:t>
      </w:r>
      <w:proofErr w:type="gramEnd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 Kačića Miošića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i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Satir iliti divji čovik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Matije Antuna Reljkovića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Komedije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Tituša Brezovačkoga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(Matijaš Grabancijaš dijak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Diogeneš)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pokazuju visok domet kajkavskog književnog izraza, a izvode se na hrvatskim pozornicama do dana današnjeg.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 u ovome stoljeću nastavlja se marna jezikoslovna djelatnost.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Ardelio </w:t>
      </w:r>
      <w:proofErr w:type="gramStart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della</w:t>
      </w:r>
      <w:proofErr w:type="gramEnd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 Bella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1728.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objavljuje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Dizionario Italiano-Latino-Illirico (Rječnik talijansko-latinsko-ilirski).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Veliki latinsko-hrvatski i hrvatsko-latinski enciklopedijski rječnik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Gazophylacium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Ivana</w:t>
      </w:r>
      <w:proofErr w:type="gramEnd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 Belostenca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napisan je prije 1675., kada su u Europi postojala samo dva velika enciklopedijska rječnika (talijanski i francuski), ali je tiskan tek po autorovoj smrti 1740.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Po svojoj tronarječnoj orijentaciji Belostenec je bio blizak piscima ozaljskog književnojezičnog kruga.</w:t>
      </w:r>
      <w:proofErr w:type="gramEnd"/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Višejezični rječnik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Lexicon latinum interpretatione illyrica, germanica et hungarica locuples (Latinski leksikon s ilirskim, njemačkim i mađarskim tumačenjima)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Andrije</w:t>
      </w:r>
      <w:proofErr w:type="gramEnd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 Jambrešića i Franje Sušnika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tiskan 1742., hrvatsku sastavnicu ima pisanu kajkavskim narječjem.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 drugoj polovici 18.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pojavljuje se nekoliko gramatika  jer su pisci ikavskog područja smatrali svojom obavezom pismenom pučanstvu ponuditi gramatičke priručnike i rječnike.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Blaž Tadijanović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1761.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izdaje gramatiku i rječnik na slavonskoj ikavskoj štokavštini -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Svašta pomalo iliti kratko složenje imena i riči u ilirski i njemački jezik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1767. g.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Matija Antun Reljković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izdaje najopsežniju gramatiku do tada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Nova slavonska i nimačka gramatika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u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kojoj želi ukloniti turcizme iz jezika. 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</w:p>
    <w:p w:rsidR="00A43B8D" w:rsidRDefault="00A43B8D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808000"/>
          <w:sz w:val="28"/>
          <w:szCs w:val="28"/>
        </w:rPr>
      </w:pPr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808000"/>
          <w:sz w:val="28"/>
          <w:szCs w:val="28"/>
        </w:rPr>
        <w:lastRenderedPageBreak/>
        <w:t>19. STOLJEĆE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Početkom 19.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tiskano je još nekoliko jezikoslovnih djela koja prethode ilirskom pokretu.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To su gramatika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Šime Starčevića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Nova ričoslovnica ilirska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(1812.), u kojoj se pojavio prvi opis četveronaglasnog sustavak ikavske novoštokavice, zatim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Rječosložje ilirsko-italijansko-latinsko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(1806.)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Joakima Stullija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Grammatica 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della</w:t>
      </w:r>
      <w:proofErr w:type="gramEnd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lingua illirica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(1808.)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Franje Marije Apendinija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te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Ričoslovnik iliričkog, italijanskog i nimačkog jezika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(1802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./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03.)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Jose Voltiggija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5586E"/>
          <w:sz w:val="28"/>
          <w:szCs w:val="28"/>
        </w:rPr>
        <w:br/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Tridesetih godina 19.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 započinje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ilirski preporod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Hrvatski intelektualci bore se za očuvanje hrvatskog indentiteta. Kako je jezik bitna odrednica nacionalnog indentiteta, svoju su borbu usmjerili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očuvanje hrvatskog jezika. Početak buđenja nacionalne svijesti je poziv zagrebačkog biskupa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 xml:space="preserve">Maksimilijana </w:t>
      </w:r>
      <w:proofErr w:type="gramStart"/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Vrhovca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Poziv na sve duhovne pastire svoje biskupije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1813.) za skupljanje narodnog blaga.</w:t>
      </w:r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Godine 1815.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Antun Mihanović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 autor hrvatske himne, piše brošuru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Reč domovini od hasnovitosti pisanja vu domorodnem jeziku,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 u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kojoj želi da hrvatski jezik dobije isti status kakav imaju i drugi nacionalni jezici.</w:t>
      </w:r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Hrvatski književnici i znanstvenici nastoje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odrediti književni jezik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koji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će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biti zajednički svim Hrvatima. Mogli su birati između dvaju veoma rasprostranjenih i visoko razvijenih književnih izraza: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štokavskoga i kajkavskoga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Dana je prednost štokavštini jer je među Hrvatima najmnogoljudnija, a štokavska književnost, posebice dubrovačka, bila je i veoma bogata i popularna.</w:t>
      </w:r>
      <w:proofErr w:type="gramEnd"/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Najveće usluge u afirmaciji hrvatskog jezika pripadaju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Ljudevitu Gaju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i njegovim nastojanjima da riješi slovopisne probleme hrvatskoga jezika - svoje ideje iznosi u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Kratkoj osnovi horvatsko-slavenskog pravopisanja</w:t>
      </w:r>
      <w:proofErr w:type="gramStart"/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1830.) i članku 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Pravopisz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(1835.).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Konačna pobjeda je dopuštenje za izdavanje novina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hrvatskom jeziku.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Godine 1835.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izlaze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prvi brojevi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Novina horvatskih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i književnog priloga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Danicza Horvatzka, Slavonzka i Dalmatinzka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Tiskana je starim pravopisom i pretežito kajkavskim narječjem, da bi već sljedeće godine preimenovana u Danicu Ilirsku i tiskana novim pravopisom i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štokavskom narječju.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Imenom ilirskim željelo se obuhvatiti sve južne Slavene.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Međutim, ostali južni Slaveni nisu prihvatili naziv ilirski za svoj jezik pa su ga uskoro i Hrvati zamijenili svojim nazivom - hrvatskim.</w:t>
      </w:r>
      <w:proofErr w:type="gramEnd"/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U preporodnom razdoblju i nakon njega djelovalo je nekoliko velikih hrvatskih jezikoslovaca.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U to vrijeme nastaju gramatike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Vjekoslava Babukića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Antuna Mažuranića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i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Adolfa Vebera Tkalčevića  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te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rječnici od kojih je najpoznatiji</w:t>
      </w:r>
      <w:r w:rsidRPr="00A43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Hrvatsko-njemačko-talijanski rječnik znanstvenog nazivlja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najvećega hrvatskog leksikografa 19.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stoljeća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Bogoslava Šuleka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Šulek, podrijetlom Slovak, obogatio je hrvatsko nazivlje, preuzimajući i pohrvaćujući slavenske riječi, oživljujući riječi iz starijih hrvatskih rječnika, iz hrvatskih dijalekata,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ali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 tvoreći nove.</w:t>
      </w:r>
    </w:p>
    <w:p w:rsidR="00FC154C" w:rsidRPr="00A43B8D" w:rsidRDefault="00FC154C" w:rsidP="00FC154C">
      <w:pPr>
        <w:shd w:val="clear" w:color="auto" w:fill="F5FA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28"/>
          <w:szCs w:val="28"/>
        </w:rPr>
      </w:pP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Nastojeći oko zajedničkoga jezika, ilirci su rješavali i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problem službenog jezika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Težnji da to umjesto latinskoga bude hrvatski suprotstavljala se prisilna mađarizacija i germanizacija.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0080C0"/>
          <w:sz w:val="28"/>
          <w:szCs w:val="28"/>
        </w:rPr>
        <w:t>Ivan Kukuljević Sakcinski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prvi je održao službeni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govor u Hrvatskom saboru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hrvatskom jeziku 2.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svibnja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1843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a na njegov prijedlog je 23. </w:t>
      </w:r>
      <w:proofErr w:type="gramStart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listopada</w:t>
      </w:r>
      <w:proofErr w:type="gramEnd"/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1847. </w:t>
      </w:r>
      <w:proofErr w:type="gramStart"/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>hrvatski</w:t>
      </w:r>
      <w:proofErr w:type="gramEnd"/>
      <w:r w:rsidRPr="00A43B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jezik proglašen službenim</w:t>
      </w:r>
      <w:r w:rsidRPr="00A43B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263C" w:rsidRDefault="0062263C"/>
    <w:sectPr w:rsidR="0062263C" w:rsidSect="0062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154C"/>
    <w:rsid w:val="00181A1C"/>
    <w:rsid w:val="00415A44"/>
    <w:rsid w:val="0062263C"/>
    <w:rsid w:val="006C54B5"/>
    <w:rsid w:val="00A43B8D"/>
    <w:rsid w:val="00A57FF5"/>
    <w:rsid w:val="00F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C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FC154C"/>
  </w:style>
  <w:style w:type="character" w:styleId="Istaknuto">
    <w:name w:val="Emphasis"/>
    <w:basedOn w:val="Zadanifontodlomka"/>
    <w:uiPriority w:val="20"/>
    <w:qFormat/>
    <w:rsid w:val="00FC15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</dc:creator>
  <cp:lastModifiedBy>Hamida</cp:lastModifiedBy>
  <cp:revision>4</cp:revision>
  <dcterms:created xsi:type="dcterms:W3CDTF">2014-10-14T16:09:00Z</dcterms:created>
  <dcterms:modified xsi:type="dcterms:W3CDTF">2014-10-14T16:12:00Z</dcterms:modified>
</cp:coreProperties>
</file>